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22"/>
        <w:ind w:left="425" w:firstLine="0"/>
        <w:jc w:val="center"/>
        <w:spacing w:before="360" w:after="120"/>
        <w:rPr>
          <w:rFonts w:ascii="Times New Roman" w:hAnsi="Times New Roman" w:eastAsia="Calibri"/>
          <w:b/>
          <w:bCs/>
          <w:caps/>
          <w:highlight w:val="none"/>
        </w:rPr>
      </w:pPr>
      <w:r>
        <w:rPr>
          <w:rFonts w:ascii="Times New Roman" w:hAnsi="Times New Roman" w:eastAsia="Calibri"/>
          <w:b/>
          <w:caps/>
          <w:szCs w:val="24"/>
        </w:rPr>
        <w:t xml:space="preserve">ОБОСНОВАНИЕ начальной (ма</w:t>
      </w:r>
      <w:bookmarkStart w:id="0" w:name="_GoBack"/>
      <w:r/>
      <w:bookmarkEnd w:id="0"/>
      <w:r>
        <w:rPr>
          <w:rFonts w:ascii="Times New Roman" w:hAnsi="Times New Roman" w:eastAsia="Calibri"/>
          <w:b/>
          <w:caps/>
          <w:szCs w:val="24"/>
        </w:rPr>
        <w:t xml:space="preserve">ксимальной) цены договора</w:t>
      </w:r>
      <w:r>
        <w:rPr>
          <w:rFonts w:ascii="Times New Roman" w:hAnsi="Times New Roman" w:eastAsia="Calibri"/>
          <w:sz w:val="26"/>
          <w:szCs w:val="26"/>
        </w:rPr>
        <w:t xml:space="preserve"> / </w:t>
      </w:r>
      <w:r>
        <w:rPr>
          <w:rFonts w:ascii="Times New Roman" w:hAnsi="Times New Roman" w:eastAsia="Calibri"/>
          <w:b/>
          <w:caps/>
          <w:szCs w:val="24"/>
        </w:rPr>
        <w:t xml:space="preserve">цены единицы товара, работы, услуги</w:t>
      </w:r>
      <w:r>
        <w:rPr>
          <w:rFonts w:ascii="Times New Roman" w:hAnsi="Times New Roman" w:eastAsia="Calibri"/>
          <w:b/>
          <w:bCs/>
          <w:caps/>
          <w:highlight w:val="none"/>
        </w:rPr>
      </w:r>
    </w:p>
    <w:p>
      <w:pPr>
        <w:pStyle w:val="622"/>
        <w:ind w:left="425" w:firstLine="0"/>
        <w:jc w:val="center"/>
        <w:spacing w:before="360" w:after="120"/>
        <w:rPr>
          <w:rFonts w:ascii="Times New Roman" w:hAnsi="Times New Roman" w:eastAsia="Calibri"/>
          <w:b/>
          <w:bCs/>
          <w:caps/>
        </w:rPr>
      </w:pPr>
      <w:r>
        <w:rPr>
          <w:rFonts w:ascii="Times New Roman" w:hAnsi="Times New Roman" w:eastAsia="Calibri"/>
          <w:b/>
          <w:bCs/>
          <w:caps/>
        </w:rPr>
      </w:r>
      <w:r>
        <w:rPr>
          <w:rFonts w:ascii="Times New Roman" w:hAnsi="Times New Roman" w:eastAsia="Calibri"/>
          <w:b/>
          <w:bCs/>
          <w:caps/>
        </w:rPr>
      </w:r>
    </w:p>
    <w:p>
      <w:pPr>
        <w:pStyle w:val="622"/>
        <w:numPr>
          <w:ilvl w:val="0"/>
          <w:numId w:val="1"/>
        </w:numPr>
        <w:ind w:left="714" w:hanging="357"/>
        <w:jc w:val="both"/>
        <w:spacing w:before="120" w:after="120" w:line="360" w:lineRule="exact"/>
        <w:rPr>
          <w:rFonts w:ascii="Times New Roman" w:hAnsi="Times New Roman" w:eastAsia="Calibri"/>
          <w:b/>
          <w:sz w:val="26"/>
          <w:szCs w:val="26"/>
        </w:rPr>
      </w:pPr>
      <w:r>
        <w:rPr>
          <w:rFonts w:ascii="Times New Roman" w:hAnsi="Times New Roman" w:eastAsia="Calibri"/>
          <w:b/>
          <w:sz w:val="26"/>
          <w:szCs w:val="26"/>
        </w:rPr>
        <w:t xml:space="preserve">Общая информация</w:t>
      </w:r>
      <w:r>
        <w:rPr>
          <w:rFonts w:ascii="Times New Roman" w:hAnsi="Times New Roman" w:eastAsia="Calibri"/>
          <w:b/>
          <w:sz w:val="26"/>
          <w:szCs w:val="26"/>
        </w:rPr>
      </w:r>
    </w:p>
    <w:tbl>
      <w:tblPr>
        <w:tblW w:w="9672" w:type="dxa"/>
        <w:tblInd w:w="-34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708"/>
        <w:gridCol w:w="3685"/>
        <w:gridCol w:w="5279"/>
      </w:tblGrid>
      <w:tr>
        <w:tblPrEx/>
        <w:trPr>
          <w:trHeight w:val="459"/>
        </w:trPr>
        <w:tc>
          <w:tcPr>
            <w:tcW w:w="708" w:type="dxa"/>
            <w:textDirection w:val="lrTb"/>
            <w:noWrap w:val="false"/>
          </w:tcPr>
          <w:p>
            <w:pPr>
              <w:pStyle w:val="622"/>
              <w:contextualSpacing/>
              <w:jc w:val="both"/>
              <w:spacing w:before="120" w:after="0" w:line="240" w:lineRule="auto"/>
              <w:widowControl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  <w:lang w:val="ru-RU" w:eastAsia="en-US" w:bidi="ar-SA"/>
              </w:rPr>
              <w:t xml:space="preserve">№ </w:t>
            </w:r>
            <w:r>
              <w:rPr>
                <w:rFonts w:ascii="Times New Roman" w:hAnsi="Times New Roman" w:eastAsia="Calibri"/>
                <w:sz w:val="22"/>
                <w:szCs w:val="22"/>
                <w:lang w:val="ru-RU" w:eastAsia="en-US" w:bidi="ar-SA"/>
              </w:rPr>
              <w:t xml:space="preserve">п/п</w:t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  <w:tc>
          <w:tcPr>
            <w:tcW w:w="3685" w:type="dxa"/>
            <w:textDirection w:val="lrTb"/>
            <w:noWrap w:val="false"/>
          </w:tcPr>
          <w:p>
            <w:pPr>
              <w:pStyle w:val="622"/>
              <w:contextualSpacing/>
              <w:jc w:val="both"/>
              <w:spacing w:before="120" w:after="0" w:line="240" w:lineRule="auto"/>
              <w:widowControl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  <w:lang w:val="ru-RU" w:eastAsia="en-US" w:bidi="ar-SA"/>
              </w:rPr>
              <w:t xml:space="preserve">Наименование</w:t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  <w:tc>
          <w:tcPr>
            <w:tcW w:w="5279" w:type="dxa"/>
            <w:textDirection w:val="lrTb"/>
            <w:noWrap w:val="false"/>
          </w:tcPr>
          <w:p>
            <w:pPr>
              <w:pStyle w:val="622"/>
              <w:contextualSpacing/>
              <w:jc w:val="both"/>
              <w:spacing w:before="120" w:after="0" w:line="240" w:lineRule="auto"/>
              <w:widowControl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  <w:lang w:val="ru-RU" w:eastAsia="en-US" w:bidi="ar-SA"/>
              </w:rPr>
              <w:t xml:space="preserve">Информация по лоту</w:t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</w:tr>
      <w:tr>
        <w:tblPrEx/>
        <w:trPr/>
        <w:tc>
          <w:tcPr>
            <w:tcW w:w="708" w:type="dxa"/>
            <w:textDirection w:val="lrTb"/>
            <w:noWrap w:val="false"/>
          </w:tcPr>
          <w:p>
            <w:pPr>
              <w:pStyle w:val="622"/>
              <w:numPr>
                <w:ilvl w:val="1"/>
                <w:numId w:val="1"/>
              </w:numPr>
              <w:contextualSpacing/>
              <w:ind w:left="0" w:firstLine="0"/>
              <w:jc w:val="both"/>
              <w:spacing w:before="120" w:after="120" w:line="360" w:lineRule="exact"/>
              <w:widowControl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  <w:lang w:val="ru-RU" w:eastAsia="en-US" w:bidi="ar-SA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  <w:tc>
          <w:tcPr>
            <w:tcW w:w="3685" w:type="dxa"/>
            <w:textDirection w:val="lrTb"/>
            <w:noWrap w:val="false"/>
          </w:tcPr>
          <w:p>
            <w:pPr>
              <w:pStyle w:val="622"/>
              <w:contextualSpacing/>
              <w:jc w:val="both"/>
              <w:spacing w:before="120" w:after="0" w:line="360" w:lineRule="exact"/>
              <w:widowControl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  <w:lang w:val="ru-RU" w:eastAsia="en-US" w:bidi="ar-SA"/>
              </w:rPr>
              <w:t xml:space="preserve">Наименование лота</w:t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  <w:tc>
          <w:tcPr>
            <w:tcW w:w="5279" w:type="dxa"/>
            <w:textDirection w:val="lrTb"/>
            <w:noWrap w:val="false"/>
          </w:tcPr>
          <w:p>
            <w:pPr>
              <w:pStyle w:val="622"/>
              <w:jc w:val="both"/>
              <w:spacing w:before="0" w:after="0" w:line="240" w:lineRule="auto"/>
              <w:widowControl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  <w:lang w:val="ru-RU" w:eastAsia="en-US" w:bidi="ar-SA"/>
              </w:rPr>
              <w:t xml:space="preserve">ОКПД2 71.20.12.000 Оказание услуг по разработке паспортов и руководств по эксплуатации для нужд СП, расположенных в Хабаровском крае, Приморском крае, Амурской области.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</w:r>
          </w:p>
        </w:tc>
      </w:tr>
      <w:tr>
        <w:tblPrEx/>
        <w:trPr/>
        <w:tc>
          <w:tcPr>
            <w:tcW w:w="708" w:type="dxa"/>
            <w:textDirection w:val="lrTb"/>
            <w:noWrap w:val="false"/>
          </w:tcPr>
          <w:p>
            <w:pPr>
              <w:pStyle w:val="622"/>
              <w:numPr>
                <w:ilvl w:val="1"/>
                <w:numId w:val="1"/>
              </w:numPr>
              <w:contextualSpacing/>
              <w:ind w:left="0" w:firstLine="0"/>
              <w:jc w:val="both"/>
              <w:spacing w:before="120" w:after="120" w:line="360" w:lineRule="exact"/>
              <w:widowControl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  <w:lang w:val="ru-RU" w:eastAsia="en-US" w:bidi="ar-SA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  <w:tc>
          <w:tcPr>
            <w:tcW w:w="3685" w:type="dxa"/>
            <w:textDirection w:val="lrTb"/>
            <w:noWrap w:val="false"/>
          </w:tcPr>
          <w:p>
            <w:pPr>
              <w:pStyle w:val="622"/>
              <w:contextualSpacing/>
              <w:jc w:val="both"/>
              <w:spacing w:before="120" w:after="0" w:line="360" w:lineRule="exact"/>
              <w:widowControl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  <w:lang w:val="ru-RU" w:eastAsia="en-US" w:bidi="ar-SA"/>
              </w:rPr>
              <w:t xml:space="preserve">Номер лота</w:t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  <w:tc>
          <w:tcPr>
            <w:tcW w:w="5279" w:type="dxa"/>
            <w:textDirection w:val="lrTb"/>
            <w:noWrap w:val="false"/>
          </w:tcPr>
          <w:p>
            <w:pPr>
              <w:pStyle w:val="622"/>
              <w:jc w:val="both"/>
              <w:spacing w:before="0" w:after="0" w:line="276" w:lineRule="auto"/>
              <w:widowControl w:val="off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val="ru-RU" w:eastAsia="en-US" w:bidi="ar-SA"/>
              </w:rPr>
              <w:t xml:space="preserve">41005032-ЭКСП ПРОД-2026-ДГК</w:t>
            </w:r>
            <w:r>
              <w:rPr>
                <w:rFonts w:ascii="Times New Roman" w:hAnsi="Times New Roman"/>
                <w:i/>
                <w:sz w:val="22"/>
                <w:szCs w:val="22"/>
              </w:rPr>
            </w:r>
          </w:p>
        </w:tc>
      </w:tr>
      <w:tr>
        <w:tblPrEx/>
        <w:trPr/>
        <w:tc>
          <w:tcPr>
            <w:tcW w:w="708" w:type="dxa"/>
            <w:textDirection w:val="lrTb"/>
            <w:noWrap w:val="false"/>
          </w:tcPr>
          <w:p>
            <w:pPr>
              <w:pStyle w:val="622"/>
              <w:numPr>
                <w:ilvl w:val="1"/>
                <w:numId w:val="1"/>
              </w:numPr>
              <w:contextualSpacing/>
              <w:ind w:left="0" w:firstLine="0"/>
              <w:jc w:val="both"/>
              <w:spacing w:before="120" w:after="120" w:line="360" w:lineRule="exact"/>
              <w:widowControl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  <w:lang w:val="ru-RU" w:eastAsia="en-US" w:bidi="ar-SA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  <w:tc>
          <w:tcPr>
            <w:tcW w:w="3685" w:type="dxa"/>
            <w:textDirection w:val="lrTb"/>
            <w:noWrap w:val="false"/>
          </w:tcPr>
          <w:p>
            <w:pPr>
              <w:pStyle w:val="622"/>
              <w:contextualSpacing/>
              <w:jc w:val="both"/>
              <w:spacing w:before="120" w:after="0" w:line="360" w:lineRule="exact"/>
              <w:widowControl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  <w:lang w:val="ru-RU" w:eastAsia="en-US" w:bidi="ar-SA"/>
              </w:rPr>
              <w:t xml:space="preserve">НМЦ</w:t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  <w:tc>
          <w:tcPr>
            <w:tcW w:w="5279" w:type="dxa"/>
            <w:textDirection w:val="lrTb"/>
            <w:noWrap w:val="false"/>
          </w:tcPr>
          <w:p>
            <w:pPr>
              <w:pStyle w:val="622"/>
              <w:jc w:val="both"/>
              <w:spacing w:before="0" w:after="0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 w:eastAsia="en-US" w:bidi="ar-SA"/>
              </w:rPr>
              <w:t xml:space="preserve">5 779 048,00 </w:t>
            </w:r>
            <w:r>
              <w:rPr>
                <w:rFonts w:ascii="Times New Roman" w:hAnsi="Times New Roman"/>
                <w:sz w:val="22"/>
                <w:szCs w:val="22"/>
                <w:lang w:val="ru-RU" w:eastAsia="en-US" w:bidi="ar-SA"/>
              </w:rPr>
              <w:t xml:space="preserve">руб. без НДС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</w:tbl>
    <w:p>
      <w:pPr>
        <w:pStyle w:val="622"/>
        <w:ind w:left="425" w:right="0" w:firstLine="0"/>
        <w:jc w:val="both"/>
        <w:spacing w:before="120" w:after="120" w:line="360" w:lineRule="exact"/>
        <w:rPr>
          <w:rFonts w:ascii="Times New Roman" w:hAnsi="Times New Roman" w:eastAsia="Calibri"/>
          <w:b/>
          <w:sz w:val="26"/>
          <w:szCs w:val="26"/>
        </w:rPr>
      </w:pPr>
      <w:r>
        <w:rPr>
          <w:rFonts w:ascii="Times New Roman" w:hAnsi="Times New Roman" w:eastAsia="Calibri"/>
          <w:b/>
          <w:sz w:val="26"/>
          <w:szCs w:val="26"/>
        </w:rPr>
        <w:t xml:space="preserve">2. Использованный метод:</w:t>
      </w:r>
      <w:r>
        <w:rPr>
          <w:rFonts w:ascii="Times New Roman" w:hAnsi="Times New Roman" w:eastAsia="Calibri"/>
          <w:b/>
          <w:sz w:val="26"/>
          <w:szCs w:val="26"/>
        </w:rPr>
      </w:r>
    </w:p>
    <w:p>
      <w:pPr>
        <w:pStyle w:val="622"/>
        <w:contextualSpacing/>
        <w:ind w:left="360" w:firstLine="0"/>
        <w:jc w:val="both"/>
        <w:spacing w:before="0"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Метод анализа технико-коммерческих предложений, с помощью мониторинга рынка на ЭТП, лот №RH</w:t>
      </w:r>
      <w:r>
        <w:rPr>
          <w:rFonts w:ascii="Times New Roman" w:hAnsi="Times New Roman" w:eastAsia="Arial" w:cs="Arial"/>
          <w:b w:val="0"/>
          <w:sz w:val="24"/>
          <w:szCs w:val="24"/>
        </w:rPr>
        <w:t xml:space="preserve">17022600007</w:t>
      </w:r>
      <w:r>
        <w:rPr>
          <w:rFonts w:ascii="Times New Roman" w:hAnsi="Times New Roman"/>
          <w:sz w:val="24"/>
          <w:szCs w:val="24"/>
        </w:rPr>
      </w:r>
    </w:p>
    <w:p>
      <w:pPr>
        <w:pStyle w:val="622"/>
        <w:contextualSpacing/>
        <w:ind w:left="360" w:firstLine="0"/>
        <w:jc w:val="both"/>
        <w:spacing w:before="0" w:after="120"/>
        <w:rPr>
          <w:rFonts w:eastAsia="Calibri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Обоснование расчета НМЦ:</w:t>
      </w:r>
      <w:r>
        <w:rPr>
          <w:rFonts w:eastAsia="Calibri"/>
          <w:b/>
          <w:bCs/>
          <w:sz w:val="24"/>
          <w:szCs w:val="24"/>
        </w:rPr>
      </w:r>
    </w:p>
    <w:tbl>
      <w:tblPr>
        <w:tblW w:w="10116" w:type="dxa"/>
        <w:tblInd w:w="-431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2699"/>
        <w:gridCol w:w="1983"/>
        <w:gridCol w:w="1984"/>
        <w:gridCol w:w="1559"/>
        <w:gridCol w:w="1891"/>
      </w:tblGrid>
      <w:tr>
        <w:tblPrEx/>
        <w:trPr>
          <w:trHeight w:val="70"/>
        </w:trPr>
        <w:tc>
          <w:tcPr>
            <w:shd w:val="clear" w:color="000000" w:fill="e7e6e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9" w:type="dxa"/>
            <w:textDirection w:val="lrTb"/>
            <w:noWrap w:val="false"/>
          </w:tcPr>
          <w:p>
            <w:pPr>
              <w:jc w:val="center"/>
              <w:spacing w:before="0" w:after="0"/>
              <w:widowControl/>
              <w:rPr>
                <w:rFonts w:ascii="Times New Roman" w:hAnsi="Times New Roman" w:eastAsia="Times New Roman" w:cs="Times New Roman"/>
                <w:sz w:val="22"/>
                <w:szCs w:val="22"/>
                <w:lang w:val="ru-RU" w:eastAsia="en-US" w:bidi="ar-SA"/>
                <w14:ligatures w14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 w:eastAsia="en-US" w:bidi="ar-SA"/>
              </w:rPr>
              <w:t xml:space="preserve">Наименование товара/ работы/ услуги в составе лота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 w:eastAsia="en-US" w:bidi="ar-SA"/>
                <w14:ligatures w14:val="none"/>
              </w:rPr>
            </w:r>
          </w:p>
        </w:tc>
        <w:tc>
          <w:tcPr>
            <w:shd w:val="clear" w:color="000000" w:fill="e7e6e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3" w:type="dxa"/>
            <w:textDirection w:val="lrTb"/>
            <w:noWrap w:val="false"/>
          </w:tcPr>
          <w:p>
            <w:pPr>
              <w:jc w:val="center"/>
              <w:spacing w:before="0" w:after="0"/>
              <w:widowControl/>
              <w:rPr>
                <w:rFonts w:ascii="Times New Roman" w:hAnsi="Times New Roman" w:eastAsia="Times New Roman" w:cs="Times New Roman"/>
                <w:sz w:val="22"/>
                <w:szCs w:val="22"/>
                <w:lang w:val="ru-RU" w:eastAsia="en-US" w:bidi="ar-SA"/>
                <w14:ligatures w14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 w:eastAsia="en-US" w:bidi="ar-SA"/>
              </w:rPr>
              <w:t xml:space="preserve">Наименование источника ценовой информации (ИЦИ)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 w:eastAsia="en-US" w:bidi="ar-SA"/>
                <w14:ligatures w14:val="none"/>
              </w:rPr>
            </w:r>
          </w:p>
        </w:tc>
        <w:tc>
          <w:tcPr>
            <w:shd w:val="clear" w:color="000000" w:fill="e7e6e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before="0" w:after="0"/>
              <w:widowControl/>
              <w:rPr>
                <w:rFonts w:ascii="Times New Roman" w:hAnsi="Times New Roman" w:eastAsia="Times New Roman" w:cs="Times New Roman"/>
                <w:sz w:val="22"/>
                <w:szCs w:val="22"/>
                <w:lang w:val="ru-RU" w:eastAsia="en-US" w:bidi="ar-SA"/>
                <w14:ligatures w14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 w:eastAsia="en-US" w:bidi="ar-SA"/>
              </w:rPr>
              <w:t xml:space="preserve">Цена из соответствующего ИЦИ, в руб. без НДС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 w:eastAsia="en-US" w:bidi="ar-SA"/>
                <w14:ligatures w14:val="none"/>
              </w:rPr>
            </w:r>
          </w:p>
        </w:tc>
        <w:tc>
          <w:tcPr>
            <w:shd w:val="clear" w:color="000000" w:fill="e7e6e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before="0" w:after="0"/>
              <w:widowControl/>
              <w:rPr>
                <w:rFonts w:ascii="Times New Roman" w:hAnsi="Times New Roman" w:eastAsia="Times New Roman" w:cs="Times New Roman"/>
                <w:sz w:val="22"/>
                <w:szCs w:val="22"/>
                <w:lang w:val="ru-RU" w:eastAsia="en-US" w:bidi="ar-SA"/>
                <w14:ligatures w14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 w:eastAsia="en-US" w:bidi="ar-SA"/>
              </w:rPr>
              <w:t xml:space="preserve">Цена итоговая, в руб. без НДС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 w:eastAsia="en-US" w:bidi="ar-SA"/>
                <w14:ligatures w14:val="none"/>
              </w:rPr>
            </w:r>
          </w:p>
        </w:tc>
        <w:tc>
          <w:tcPr>
            <w:shd w:val="clear" w:color="000000" w:fill="e7e6e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1" w:type="dxa"/>
            <w:textDirection w:val="lrTb"/>
            <w:noWrap w:val="false"/>
          </w:tcPr>
          <w:p>
            <w:pPr>
              <w:jc w:val="center"/>
              <w:spacing w:before="0" w:after="0"/>
              <w:widowControl/>
              <w:rPr>
                <w:rFonts w:ascii="Times New Roman" w:hAnsi="Times New Roman" w:eastAsia="Times New Roman" w:cs="Times New Roman"/>
                <w:sz w:val="22"/>
                <w:szCs w:val="22"/>
                <w:lang w:val="ru-RU" w:eastAsia="en-US" w:bidi="ar-SA"/>
                <w14:ligatures w14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 w:eastAsia="en-US" w:bidi="ar-SA"/>
              </w:rPr>
              <w:t xml:space="preserve">Комментарии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 w:eastAsia="en-US" w:bidi="ar-SA"/>
                <w14:ligatures w14:val="none"/>
              </w:rPr>
            </w:r>
          </w:p>
        </w:tc>
      </w:tr>
      <w:tr>
        <w:tblPrEx/>
        <w:trPr>
          <w:trHeight w:val="100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9" w:type="dxa"/>
            <w:vMerge w:val="restart"/>
            <w:textDirection w:val="lrTb"/>
            <w:noWrap w:val="false"/>
          </w:tcPr>
          <w:p>
            <w:pPr>
              <w:pStyle w:val="622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ОКПД2 71.20.12.000 Оказание услуг по разработке паспортов и руководств по эксплуатации для нужд СП, расположенных в Хабаровском крае, Приморском крае, Амурской области.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3" w:type="dxa"/>
            <w:textDirection w:val="lrTb"/>
            <w:noWrap w:val="false"/>
          </w:tcPr>
          <w:p>
            <w:pPr>
              <w:pStyle w:val="622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  <w:szCs w:val="24"/>
              </w:rPr>
              <w:t xml:space="preserve">ТКП №1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pStyle w:val="622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  <w:szCs w:val="24"/>
              </w:rPr>
              <w:t xml:space="preserve">5 487 144,00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pStyle w:val="622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5 779 048,00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891" w:type="dxa"/>
            <w:vMerge w:val="restart"/>
            <w:textDirection w:val="lrTb"/>
            <w:noWrap w:val="false"/>
          </w:tcPr>
          <w:p>
            <w:pPr>
              <w:pStyle w:val="684"/>
              <w:widowControl w:val="off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shd w:val="clear" w:color="auto" w:fill="ffff99"/>
                <w:lang w:eastAsia="ru-RU"/>
              </w:rPr>
              <w:t xml:space="preserve">Принято среднеарифметическое значение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fff99"/>
              </w:rPr>
            </w:r>
          </w:p>
        </w:tc>
      </w:tr>
      <w:tr>
        <w:tblPrEx/>
        <w:trPr>
          <w:trHeight w:val="8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9" w:type="dxa"/>
            <w:vMerge w:val="continue"/>
            <w:textDirection w:val="lrTb"/>
            <w:noWrap w:val="false"/>
          </w:tcPr>
          <w:p>
            <w:pPr>
              <w:pStyle w:val="622"/>
              <w:spacing w:before="60" w:after="60"/>
              <w:widowControl w:val="off"/>
              <w:rPr>
                <w:rFonts w:ascii="Times New Roman" w:hAnsi="Times New Roman" w:eastAsia="Times New Roman"/>
                <w:i/>
                <w:sz w:val="22"/>
                <w:szCs w:val="22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2"/>
                <w:szCs w:val="22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2"/>
                <w:szCs w:val="22"/>
                <w:shd w:val="clear" w:color="auto" w:fill="ffff99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3" w:type="dxa"/>
            <w:textDirection w:val="lrTb"/>
            <w:noWrap w:val="false"/>
          </w:tcPr>
          <w:p>
            <w:pPr>
              <w:pStyle w:val="622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  <w:szCs w:val="24"/>
              </w:rPr>
              <w:t xml:space="preserve">ТКП №2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pStyle w:val="622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  <w:szCs w:val="24"/>
              </w:rPr>
              <w:t xml:space="preserve">5 350 000,00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vMerge w:val="continue"/>
            <w:textDirection w:val="lrTb"/>
            <w:noWrap w:val="false"/>
          </w:tcPr>
          <w:p>
            <w:pPr>
              <w:pStyle w:val="622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891" w:type="dxa"/>
            <w:vMerge w:val="continue"/>
            <w:textDirection w:val="lrTb"/>
            <w:noWrap w:val="false"/>
          </w:tcPr>
          <w:p>
            <w:pPr>
              <w:pStyle w:val="622"/>
              <w:widowControl w:val="off"/>
            </w:pPr>
            <w:r/>
            <w:r/>
          </w:p>
        </w:tc>
      </w:tr>
      <w:tr>
        <w:tblPrEx/>
        <w:trPr>
          <w:trHeight w:val="43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9" w:type="dxa"/>
            <w:vMerge w:val="continue"/>
            <w:textDirection w:val="lrTb"/>
            <w:noWrap w:val="false"/>
          </w:tcPr>
          <w:p>
            <w:pPr>
              <w:pStyle w:val="622"/>
              <w:spacing w:before="60" w:after="60"/>
              <w:widowControl w:val="off"/>
              <w:rPr>
                <w:rFonts w:ascii="Times New Roman" w:hAnsi="Times New Roman" w:eastAsia="Times New Roman"/>
                <w:i/>
                <w:sz w:val="22"/>
                <w:szCs w:val="22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2"/>
                <w:szCs w:val="22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2"/>
                <w:szCs w:val="22"/>
                <w:shd w:val="clear" w:color="auto" w:fill="ffff99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3" w:type="dxa"/>
            <w:textDirection w:val="lrTb"/>
            <w:noWrap w:val="false"/>
          </w:tcPr>
          <w:p>
            <w:pPr>
              <w:pStyle w:val="622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  <w:szCs w:val="24"/>
              </w:rPr>
              <w:t xml:space="preserve">ТКП №3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pStyle w:val="622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  <w:szCs w:val="24"/>
              </w:rPr>
              <w:t xml:space="preserve">6 500 000,00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</w:r>
          </w:p>
          <w:p>
            <w:pPr>
              <w:pStyle w:val="622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pStyle w:val="622"/>
              <w:widowControl w:val="o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891" w:type="dxa"/>
            <w:vMerge w:val="continue"/>
            <w:textDirection w:val="lrTb"/>
            <w:noWrap w:val="false"/>
          </w:tcPr>
          <w:p>
            <w:pPr>
              <w:pStyle w:val="622"/>
              <w:widowControl w:val="off"/>
            </w:pPr>
            <w:r/>
            <w:r/>
          </w:p>
        </w:tc>
      </w:tr>
    </w:tbl>
    <w:p>
      <w:pPr>
        <w:pStyle w:val="622"/>
        <w:jc w:val="both"/>
        <w:spacing w:before="0"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22"/>
        <w:jc w:val="both"/>
        <w:spacing w:before="0"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22"/>
        <w:jc w:val="both"/>
        <w:spacing w:before="0" w:after="120"/>
        <w:rPr>
          <w:rFonts w:ascii="Times New Roman" w:hAnsi="Times New Roman" w:eastAsia="Calibri"/>
          <w:sz w:val="26"/>
          <w:szCs w:val="26"/>
        </w:rPr>
      </w:pPr>
      <w:r/>
      <w:r>
        <w:rPr>
          <w:rFonts w:ascii="Times New Roman" w:hAnsi="Times New Roman" w:eastAsia="Calibri"/>
          <w:sz w:val="26"/>
          <w:szCs w:val="26"/>
        </w:rPr>
      </w:r>
    </w:p>
    <w:sectPr>
      <w:footnotePr/>
      <w:endnotePr/>
      <w:type w:val="nextPage"/>
      <w:pgSz w:w="11906" w:h="16838" w:orient="portrait"/>
      <w:pgMar w:top="709" w:right="849" w:bottom="1134" w:left="1701" w:header="0" w:footer="0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Noto Sans CJK SC">
    <w:panose1 w:val="020B0502040504020204"/>
  </w:font>
  <w:font w:name="Segoe UI">
    <w:panose1 w:val="020B0503020204020204"/>
  </w:font>
  <w:font w:name="Arial Unicode MS">
    <w:panose1 w:val="020B0604020202020204"/>
  </w:font>
  <w:font w:name="Arial">
    <w:panose1 w:val="020B0604020202020204"/>
  </w:font>
  <w:font w:name="Geneva">
    <w:panose1 w:val="02000603000000000000"/>
  </w:font>
  <w:font w:name="Times New Roman">
    <w:panose1 w:val="02020603050405020304"/>
  </w:font>
  <w:font w:name="Geneva CY">
    <w:panose1 w:val="02000603000000000000"/>
  </w:font>
  <w:font w:name="Liberation Sans">
    <w:panose1 w:val="020B060402020202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720" w:hanging="360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080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72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0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44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1800"/>
        <w:tabs>
          <w:tab w:val="num" w:pos="0" w:leader="none"/>
        </w:tabs>
      </w:pPr>
    </w:lvl>
  </w:abstractNum>
  <w:abstractNum w:abstractNumId="1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49">
    <w:name w:val="Table Grid"/>
    <w:basedOn w:val="33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Table Grid Light"/>
    <w:basedOn w:val="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2">
    <w:name w:val="Plain Table 2"/>
    <w:basedOn w:val="3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3">
    <w:name w:val="Plain Table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4">
    <w:name w:val="Plain Table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Plain Table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6">
    <w:name w:val="Grid Table 1 Light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1 Light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3">
    <w:name w:val="Grid Table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2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3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">
    <w:name w:val="Grid Table 4"/>
    <w:basedOn w:val="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">
    <w:name w:val="Grid Table 4 - Accent 2"/>
    <w:basedOn w:val="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">
    <w:name w:val="Grid Table 4 - Accent 3"/>
    <w:basedOn w:val="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">
    <w:name w:val="Grid Table 4 - Accent 4"/>
    <w:basedOn w:val="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">
    <w:name w:val="Grid Table 4 - Accent 5"/>
    <w:basedOn w:val="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">
    <w:name w:val="Grid Table 5 Dark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8">
    <w:name w:val="Grid Table 5 Dark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90">
    <w:name w:val="Grid Table 5 Dark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1">
    <w:name w:val="Grid Table 6 Colorful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92">
    <w:name w:val="Grid Table 6 Colorful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93">
    <w:name w:val="Grid Table 6 Colorful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94">
    <w:name w:val="Grid Table 6 Colorful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95">
    <w:name w:val="Grid Table 6 Colorful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96">
    <w:name w:val="Grid Table 6 Colorful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7">
    <w:name w:val="Grid Table 6 Colorful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8">
    <w:name w:val="Grid Table 7 Colorful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Liberation Sans" w:hAnsi="Liberation Sans"/>
        <w:color w:val="317bba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606060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Liberation Sans" w:hAnsi="Liberation Sans"/>
        <w:color w:val="254374" w:themeColor="accent5" w:themeShade="95"/>
        <w:sz w:val="22"/>
      </w:rPr>
    </w:tblStylePr>
    <w:tblStylePr w:type="firstCol">
      <w:rPr>
        <w:rFonts w:ascii="Liberation Sans" w:hAnsi="Liberation Sans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4">
    <w:name w:val="Grid Table 7 Colorful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26429" w:themeColor="accent6" w:themeShade="95"/>
        <w:sz w:val="22"/>
      </w:rPr>
    </w:tblStylePr>
    <w:tblStylePr w:type="firstCol">
      <w:rPr>
        <w:rFonts w:ascii="Liberation Sans" w:hAnsi="Liberation Sans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5">
    <w:name w:val="List Table 1 Light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9">
    <w:name w:val="List Table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3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4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">
    <w:name w:val="List Table 5 Dark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4">
    <w:name w:val="List Table 5 Dark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5">
    <w:name w:val="List Table 5 Dark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6">
    <w:name w:val="List Table 5 Dark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7">
    <w:name w:val="List Table 5 Dark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8">
    <w:name w:val="List Table 5 Dark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9">
    <w:name w:val="List Table 5 Dark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40">
    <w:name w:val="List Table 6 Colorful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1">
    <w:name w:val="List Table 6 Colorful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3">
    <w:name w:val="List Table 6 Colorful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4">
    <w:name w:val="List Table 6 Colorful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5">
    <w:name w:val="List Table 6 Colorful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6">
    <w:name w:val="List Table 6 Colorful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7">
    <w:name w:val="List Table 7 Colorful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48">
    <w:name w:val="List Table 7 Colorful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Liberation Sans" w:hAnsi="Liberation Sans"/>
        <w:color w:val="245d8d" w:themeColor="accent1" w:themeShade="95"/>
        <w:sz w:val="22"/>
      </w:rPr>
    </w:tblStylePr>
    <w:tblStylePr w:type="firstCol">
      <w:rPr>
        <w:rFonts w:ascii="Liberation Sans" w:hAnsi="Liberation Sans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245d8d" w:themeColor="accent1" w:themeShade="95"/>
        <w:sz w:val="22"/>
      </w:rPr>
    </w:tblStylePr>
  </w:style>
  <w:style w:type="table" w:styleId="149">
    <w:name w:val="List Table 7 Colorful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c95712" w:themeColor="accent2" w:themeTint="97" w:themeShade="95"/>
        <w:sz w:val="22"/>
      </w:rPr>
    </w:tblStylePr>
  </w:style>
  <w:style w:type="table" w:styleId="150">
    <w:name w:val="List Table 7 Colorful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757575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757575" w:themeColor="accent3" w:themeTint="98" w:themeShade="95"/>
        <w:sz w:val="22"/>
      </w:rPr>
    </w:tblStylePr>
  </w:style>
  <w:style w:type="table" w:styleId="151">
    <w:name w:val="List Table 7 Colorful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cd9600" w:themeColor="accent4" w:themeTint="9A" w:themeShade="95"/>
        <w:sz w:val="22"/>
      </w:rPr>
    </w:tblStylePr>
  </w:style>
  <w:style w:type="table" w:styleId="152">
    <w:name w:val="List Table 7 Colorful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Liberation Sans" w:hAnsi="Liberation Sans"/>
        <w:color w:val="335e9e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335e9e" w:themeColor="accent5" w:themeTint="9A" w:themeShade="95"/>
        <w:sz w:val="22"/>
      </w:rPr>
    </w:tblStylePr>
  </w:style>
  <w:style w:type="table" w:styleId="153">
    <w:name w:val="List Table 7 Colorful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5f8f3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5f8f3c" w:themeColor="accent6" w:themeTint="98" w:themeShade="95"/>
        <w:sz w:val="22"/>
      </w:rPr>
    </w:tblStylePr>
  </w:style>
  <w:style w:type="table" w:styleId="154">
    <w:name w:val="Lined - Accent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5">
    <w:name w:val="Lined - Accent 1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6">
    <w:name w:val="Lined - Accent 2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7">
    <w:name w:val="Lined - Accent 3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8">
    <w:name w:val="Lined - Accent 4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9">
    <w:name w:val="Lined - Accent 5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0">
    <w:name w:val="Lined - Accent 6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1">
    <w:name w:val="Bordered &amp; Lined - Accent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2">
    <w:name w:val="Bordered &amp; Lined - Accent 1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3">
    <w:name w:val="Bordered &amp; Lined - Accent 2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4">
    <w:name w:val="Bordered &amp; Lined - Accent 3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5">
    <w:name w:val="Bordered &amp; Lined - Accent 4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6">
    <w:name w:val="Bordered &amp; Lined - Accent 5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7">
    <w:name w:val="Bordered &amp; Lined - Accent 6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8">
    <w:name w:val="Bordered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9">
    <w:name w:val="Bordered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1">
    <w:name w:val="Bordered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2">
    <w:name w:val="Bordered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3">
    <w:name w:val="Bordered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4">
    <w:name w:val="Bordered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622" w:default="1">
    <w:name w:val="Normal"/>
    <w:qFormat/>
    <w:pPr>
      <w:jc w:val="left"/>
      <w:spacing w:before="0" w:beforeAutospacing="0" w:after="0" w:afterAutospacing="0" w:line="240" w:lineRule="auto"/>
      <w:widowControl/>
    </w:pPr>
    <w:rPr>
      <w:rFonts w:ascii="Geneva CY" w:hAnsi="Geneva CY" w:eastAsia="Geneva" w:cs="Times New Roman"/>
      <w:color w:val="auto"/>
      <w:sz w:val="24"/>
      <w:szCs w:val="20"/>
      <w:lang w:val="ru-RU" w:eastAsia="en-US" w:bidi="ar-SA"/>
    </w:rPr>
  </w:style>
  <w:style w:type="paragraph" w:styleId="623">
    <w:name w:val="Heading 1"/>
    <w:basedOn w:val="622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24">
    <w:name w:val="Heading 2"/>
    <w:basedOn w:val="622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25">
    <w:name w:val="Heading 3"/>
    <w:basedOn w:val="622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26">
    <w:name w:val="Heading 4"/>
    <w:basedOn w:val="622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27">
    <w:name w:val="Heading 5"/>
    <w:basedOn w:val="6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28">
    <w:name w:val="Heading 6"/>
    <w:basedOn w:val="62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29">
    <w:name w:val="Heading 7"/>
    <w:basedOn w:val="62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30">
    <w:name w:val="Heading 8"/>
    <w:basedOn w:val="622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31">
    <w:name w:val="Heading 9"/>
    <w:basedOn w:val="62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32">
    <w:name w:val="Heading 1 Char"/>
    <w:basedOn w:val="655"/>
    <w:uiPriority w:val="9"/>
    <w:qFormat/>
    <w:rPr>
      <w:rFonts w:ascii="Arial" w:hAnsi="Arial" w:eastAsia="Arial" w:cs="Arial"/>
      <w:sz w:val="40"/>
      <w:szCs w:val="40"/>
    </w:rPr>
  </w:style>
  <w:style w:type="character" w:styleId="633">
    <w:name w:val="Heading 2 Char"/>
    <w:basedOn w:val="655"/>
    <w:uiPriority w:val="9"/>
    <w:qFormat/>
    <w:rPr>
      <w:rFonts w:ascii="Arial" w:hAnsi="Arial" w:eastAsia="Arial" w:cs="Arial"/>
      <w:sz w:val="34"/>
    </w:rPr>
  </w:style>
  <w:style w:type="character" w:styleId="634">
    <w:name w:val="Heading 3 Char"/>
    <w:basedOn w:val="655"/>
    <w:uiPriority w:val="9"/>
    <w:qFormat/>
    <w:rPr>
      <w:rFonts w:ascii="Arial" w:hAnsi="Arial" w:eastAsia="Arial" w:cs="Arial"/>
      <w:sz w:val="30"/>
      <w:szCs w:val="30"/>
    </w:rPr>
  </w:style>
  <w:style w:type="character" w:styleId="635">
    <w:name w:val="Heading 4 Char"/>
    <w:basedOn w:val="655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636">
    <w:name w:val="Heading 5 Char"/>
    <w:basedOn w:val="655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637">
    <w:name w:val="Heading 6 Char"/>
    <w:basedOn w:val="655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638">
    <w:name w:val="Heading 7 Char"/>
    <w:basedOn w:val="655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639">
    <w:name w:val="Heading 8 Char"/>
    <w:basedOn w:val="655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640">
    <w:name w:val="Heading 9 Char"/>
    <w:basedOn w:val="655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641">
    <w:name w:val="Title Char"/>
    <w:basedOn w:val="655"/>
    <w:uiPriority w:val="10"/>
    <w:qFormat/>
    <w:rPr>
      <w:sz w:val="48"/>
      <w:szCs w:val="48"/>
    </w:rPr>
  </w:style>
  <w:style w:type="character" w:styleId="642">
    <w:name w:val="Subtitle Char"/>
    <w:basedOn w:val="655"/>
    <w:uiPriority w:val="11"/>
    <w:qFormat/>
    <w:rPr>
      <w:sz w:val="24"/>
      <w:szCs w:val="24"/>
    </w:rPr>
  </w:style>
  <w:style w:type="character" w:styleId="643">
    <w:name w:val="Quote Char"/>
    <w:uiPriority w:val="29"/>
    <w:qFormat/>
    <w:rPr>
      <w:i/>
    </w:rPr>
  </w:style>
  <w:style w:type="character" w:styleId="644">
    <w:name w:val="Intense Quote Char"/>
    <w:uiPriority w:val="30"/>
    <w:qFormat/>
    <w:rPr>
      <w:i/>
    </w:rPr>
  </w:style>
  <w:style w:type="character" w:styleId="645">
    <w:name w:val="Header Char"/>
    <w:basedOn w:val="655"/>
    <w:uiPriority w:val="99"/>
    <w:qFormat/>
  </w:style>
  <w:style w:type="character" w:styleId="646">
    <w:name w:val="Footer Char"/>
    <w:basedOn w:val="655"/>
    <w:uiPriority w:val="99"/>
    <w:qFormat/>
  </w:style>
  <w:style w:type="character" w:styleId="647">
    <w:name w:val="Caption Char"/>
    <w:uiPriority w:val="99"/>
    <w:qFormat/>
  </w:style>
  <w:style w:type="character" w:styleId="648">
    <w:name w:val="Hyperlink"/>
    <w:uiPriority w:val="99"/>
    <w:unhideWhenUsed/>
    <w:rPr>
      <w:color w:val="0000ff" w:themeColor="hyperlink"/>
      <w:u w:val="single"/>
    </w:rPr>
  </w:style>
  <w:style w:type="character" w:styleId="649">
    <w:name w:val="Footnote Text Char"/>
    <w:uiPriority w:val="99"/>
    <w:qFormat/>
    <w:rPr>
      <w:sz w:val="18"/>
    </w:rPr>
  </w:style>
  <w:style w:type="character" w:styleId="650">
    <w:name w:val="Символ сноски"/>
    <w:uiPriority w:val="99"/>
    <w:unhideWhenUsed/>
    <w:qFormat/>
    <w:rPr>
      <w:vertAlign w:val="superscript"/>
    </w:rPr>
  </w:style>
  <w:style w:type="character" w:styleId="651">
    <w:name w:val="footnote reference"/>
    <w:rPr>
      <w:vertAlign w:val="superscript"/>
    </w:rPr>
  </w:style>
  <w:style w:type="character" w:styleId="652">
    <w:name w:val="Endnote Text Char"/>
    <w:uiPriority w:val="99"/>
    <w:qFormat/>
    <w:rPr>
      <w:sz w:val="20"/>
    </w:rPr>
  </w:style>
  <w:style w:type="character" w:styleId="653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654">
    <w:name w:val="endnote reference"/>
    <w:rPr>
      <w:vertAlign w:val="superscript"/>
    </w:rPr>
  </w:style>
  <w:style w:type="character" w:styleId="655" w:default="1">
    <w:name w:val="Default Paragraph Font"/>
    <w:uiPriority w:val="1"/>
    <w:semiHidden/>
    <w:unhideWhenUsed/>
    <w:qFormat/>
  </w:style>
  <w:style w:type="character" w:styleId="656" w:customStyle="1">
    <w:name w:val="Текст выноски Знак"/>
    <w:basedOn w:val="655"/>
    <w:uiPriority w:val="99"/>
    <w:semiHidden/>
    <w:qFormat/>
    <w:rPr>
      <w:rFonts w:ascii="Segoe UI" w:hAnsi="Segoe UI" w:eastAsia="Geneva" w:cs="Segoe UI"/>
      <w:sz w:val="18"/>
      <w:szCs w:val="18"/>
    </w:rPr>
  </w:style>
  <w:style w:type="paragraph" w:styleId="657">
    <w:name w:val="Заголовок"/>
    <w:basedOn w:val="622"/>
    <w:next w:val="658"/>
    <w:qFormat/>
    <w:pPr>
      <w:keepNext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658">
    <w:name w:val="Body Text"/>
    <w:basedOn w:val="622"/>
    <w:pPr>
      <w:spacing w:before="0" w:after="140" w:line="276" w:lineRule="auto"/>
    </w:pPr>
  </w:style>
  <w:style w:type="paragraph" w:styleId="659">
    <w:name w:val="List"/>
    <w:basedOn w:val="658"/>
    <w:rPr>
      <w:rFonts w:cs="Arial Unicode MS"/>
    </w:rPr>
  </w:style>
  <w:style w:type="paragraph" w:styleId="660">
    <w:name w:val="Caption"/>
    <w:basedOn w:val="62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661">
    <w:name w:val="Указатель"/>
    <w:basedOn w:val="622"/>
    <w:qFormat/>
    <w:pPr>
      <w:suppressLineNumbers/>
    </w:pPr>
    <w:rPr>
      <w:rFonts w:cs="Arial Unicode MS"/>
    </w:rPr>
  </w:style>
  <w:style w:type="paragraph" w:styleId="662">
    <w:name w:val="Title"/>
    <w:basedOn w:val="622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663">
    <w:name w:val="Subtitle"/>
    <w:basedOn w:val="622"/>
    <w:uiPriority w:val="11"/>
    <w:qFormat/>
    <w:pPr>
      <w:spacing w:before="200" w:after="200"/>
    </w:pPr>
    <w:rPr>
      <w:sz w:val="24"/>
      <w:szCs w:val="24"/>
    </w:rPr>
  </w:style>
  <w:style w:type="paragraph" w:styleId="664">
    <w:name w:val="Quote"/>
    <w:basedOn w:val="622"/>
    <w:uiPriority w:val="29"/>
    <w:qFormat/>
    <w:pPr>
      <w:ind w:left="720" w:right="720" w:firstLine="0"/>
    </w:pPr>
    <w:rPr>
      <w:i/>
    </w:rPr>
  </w:style>
  <w:style w:type="paragraph" w:styleId="665">
    <w:name w:val="Intense Quote"/>
    <w:basedOn w:val="622"/>
    <w:uiPriority w:val="30"/>
    <w:qFormat/>
    <w:pPr>
      <w:ind w:left="720" w:right="720" w:firstLine="0"/>
      <w:spacing w:before="0" w:after="16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666">
    <w:name w:val="Колонтитул"/>
    <w:basedOn w:val="622"/>
    <w:qFormat/>
  </w:style>
  <w:style w:type="paragraph" w:styleId="667">
    <w:name w:val="Header"/>
    <w:basedOn w:val="622"/>
    <w:uiPriority w:val="99"/>
    <w:unhideWhenUsed/>
    <w:pPr>
      <w:spacing w:before="0" w:after="0" w:line="240" w:lineRule="auto"/>
      <w:tabs>
        <w:tab w:val="clear" w:pos="708" w:leader="none"/>
        <w:tab w:val="center" w:pos="7143" w:leader="none"/>
        <w:tab w:val="right" w:pos="14287" w:leader="none"/>
      </w:tabs>
    </w:pPr>
  </w:style>
  <w:style w:type="paragraph" w:styleId="668">
    <w:name w:val="Footer"/>
    <w:basedOn w:val="622"/>
    <w:uiPriority w:val="99"/>
    <w:unhideWhenUsed/>
    <w:pPr>
      <w:spacing w:before="0" w:after="0" w:line="240" w:lineRule="auto"/>
      <w:tabs>
        <w:tab w:val="clear" w:pos="708" w:leader="none"/>
        <w:tab w:val="center" w:pos="7143" w:leader="none"/>
        <w:tab w:val="right" w:pos="14287" w:leader="none"/>
      </w:tabs>
    </w:pPr>
  </w:style>
  <w:style w:type="paragraph" w:styleId="669">
    <w:name w:val="footnote text"/>
    <w:basedOn w:val="622"/>
    <w:uiPriority w:val="99"/>
    <w:semiHidden/>
    <w:unhideWhenUsed/>
    <w:pPr>
      <w:spacing w:before="0" w:after="40" w:line="240" w:lineRule="auto"/>
    </w:pPr>
    <w:rPr>
      <w:sz w:val="18"/>
    </w:rPr>
  </w:style>
  <w:style w:type="paragraph" w:styleId="670">
    <w:name w:val="endnote text"/>
    <w:basedOn w:val="622"/>
    <w:uiPriority w:val="99"/>
    <w:semiHidden/>
    <w:unhideWhenUsed/>
    <w:pPr>
      <w:spacing w:before="0" w:after="0" w:line="240" w:lineRule="auto"/>
    </w:pPr>
    <w:rPr>
      <w:sz w:val="20"/>
    </w:rPr>
  </w:style>
  <w:style w:type="paragraph" w:styleId="671">
    <w:name w:val="toc 1"/>
    <w:basedOn w:val="622"/>
    <w:uiPriority w:val="39"/>
    <w:unhideWhenUsed/>
    <w:pPr>
      <w:ind w:left="0" w:right="0" w:firstLine="0"/>
      <w:spacing w:before="0" w:after="57"/>
    </w:pPr>
  </w:style>
  <w:style w:type="paragraph" w:styleId="672">
    <w:name w:val="toc 2"/>
    <w:basedOn w:val="622"/>
    <w:uiPriority w:val="39"/>
    <w:unhideWhenUsed/>
    <w:pPr>
      <w:ind w:left="283" w:right="0" w:firstLine="0"/>
      <w:spacing w:before="0" w:after="57"/>
    </w:pPr>
  </w:style>
  <w:style w:type="paragraph" w:styleId="673">
    <w:name w:val="toc 3"/>
    <w:basedOn w:val="622"/>
    <w:uiPriority w:val="39"/>
    <w:unhideWhenUsed/>
    <w:pPr>
      <w:ind w:left="567" w:right="0" w:firstLine="0"/>
      <w:spacing w:before="0" w:after="57"/>
    </w:pPr>
  </w:style>
  <w:style w:type="paragraph" w:styleId="674">
    <w:name w:val="toc 4"/>
    <w:basedOn w:val="622"/>
    <w:uiPriority w:val="39"/>
    <w:unhideWhenUsed/>
    <w:pPr>
      <w:ind w:left="850" w:right="0" w:firstLine="0"/>
      <w:spacing w:before="0" w:after="57"/>
    </w:pPr>
  </w:style>
  <w:style w:type="paragraph" w:styleId="675">
    <w:name w:val="toc 5"/>
    <w:basedOn w:val="622"/>
    <w:uiPriority w:val="39"/>
    <w:unhideWhenUsed/>
    <w:pPr>
      <w:ind w:left="1134" w:right="0" w:firstLine="0"/>
      <w:spacing w:before="0" w:after="57"/>
    </w:pPr>
  </w:style>
  <w:style w:type="paragraph" w:styleId="676">
    <w:name w:val="toc 6"/>
    <w:basedOn w:val="622"/>
    <w:uiPriority w:val="39"/>
    <w:unhideWhenUsed/>
    <w:pPr>
      <w:ind w:left="1417" w:right="0" w:firstLine="0"/>
      <w:spacing w:before="0" w:after="57"/>
    </w:pPr>
  </w:style>
  <w:style w:type="paragraph" w:styleId="677">
    <w:name w:val="toc 7"/>
    <w:basedOn w:val="622"/>
    <w:uiPriority w:val="39"/>
    <w:unhideWhenUsed/>
    <w:pPr>
      <w:ind w:left="1701" w:right="0" w:firstLine="0"/>
      <w:spacing w:before="0" w:after="57"/>
    </w:pPr>
  </w:style>
  <w:style w:type="paragraph" w:styleId="678">
    <w:name w:val="toc 8"/>
    <w:basedOn w:val="622"/>
    <w:uiPriority w:val="39"/>
    <w:unhideWhenUsed/>
    <w:pPr>
      <w:ind w:left="1984" w:right="0" w:firstLine="0"/>
      <w:spacing w:before="0" w:after="57"/>
    </w:pPr>
  </w:style>
  <w:style w:type="paragraph" w:styleId="679">
    <w:name w:val="toc 9"/>
    <w:basedOn w:val="622"/>
    <w:uiPriority w:val="39"/>
    <w:unhideWhenUsed/>
    <w:pPr>
      <w:ind w:left="2268" w:right="0" w:firstLine="0"/>
      <w:spacing w:before="0" w:after="57"/>
    </w:pPr>
  </w:style>
  <w:style w:type="paragraph" w:styleId="680">
    <w:name w:val="Index Heading"/>
    <w:basedOn w:val="657"/>
  </w:style>
  <w:style w:type="paragraph" w:styleId="681">
    <w:name w:val="TOC Heading"/>
    <w:uiPriority w:val="39"/>
    <w:unhideWhenUsed/>
    <w:qFormat/>
    <w:pPr>
      <w:jc w:val="left"/>
      <w:spacing w:before="0" w:beforeAutospacing="0" w:after="160" w:afterAutospacing="0" w:line="259" w:lineRule="auto"/>
      <w:widowControl/>
    </w:pPr>
    <w:rPr>
      <w:rFonts w:ascii="Calibri" w:hAnsi="Calibri" w:eastAsia="Calibri" w:cs="Arial" w:asciiTheme="minorHAnsi" w:hAnsiTheme="minorHAnsi" w:eastAsiaTheme="minorHAnsi" w:cstheme="minorBidi"/>
      <w:color w:val="auto"/>
      <w:sz w:val="22"/>
      <w:szCs w:val="22"/>
      <w:lang w:val="ru-RU" w:eastAsia="en-US" w:bidi="ar-SA"/>
    </w:rPr>
  </w:style>
  <w:style w:type="paragraph" w:styleId="682">
    <w:name w:val="table of figures"/>
    <w:basedOn w:val="622"/>
    <w:uiPriority w:val="99"/>
    <w:unhideWhenUsed/>
    <w:qFormat/>
    <w:pPr>
      <w:spacing w:before="0" w:after="0" w:afterAutospacing="0"/>
    </w:pPr>
  </w:style>
  <w:style w:type="paragraph" w:styleId="683">
    <w:name w:val="List Paragraph"/>
    <w:basedOn w:val="622"/>
    <w:uiPriority w:val="34"/>
    <w:qFormat/>
    <w:pPr>
      <w:ind w:left="720" w:firstLine="0"/>
    </w:pPr>
    <w:rPr>
      <w:rFonts w:ascii="Times New Roman" w:hAnsi="Times New Roman" w:eastAsia="Times New Roman"/>
      <w:sz w:val="20"/>
      <w:lang w:eastAsia="ru-RU"/>
    </w:rPr>
  </w:style>
  <w:style w:type="paragraph" w:styleId="684">
    <w:name w:val="No Spacing"/>
    <w:uiPriority w:val="1"/>
    <w:qFormat/>
    <w:pPr>
      <w:jc w:val="left"/>
      <w:spacing w:before="0" w:beforeAutospacing="0" w:after="0" w:afterAutospacing="0" w:line="240" w:lineRule="auto"/>
      <w:widowControl/>
    </w:pPr>
    <w:rPr>
      <w:rFonts w:ascii="Geneva CY" w:hAnsi="Geneva CY" w:eastAsia="Geneva" w:cs="Times New Roman"/>
      <w:color w:val="auto"/>
      <w:sz w:val="24"/>
      <w:szCs w:val="20"/>
      <w:lang w:val="ru-RU" w:eastAsia="en-US" w:bidi="ar-SA"/>
    </w:rPr>
  </w:style>
  <w:style w:type="paragraph" w:styleId="685">
    <w:name w:val="Balloon Text"/>
    <w:basedOn w:val="622"/>
    <w:uiPriority w:val="99"/>
    <w:semiHidden/>
    <w:unhideWhenUsed/>
    <w:qFormat/>
    <w:rPr>
      <w:rFonts w:ascii="Segoe UI" w:hAnsi="Segoe UI" w:cs="Segoe UI"/>
      <w:sz w:val="18"/>
      <w:szCs w:val="18"/>
    </w:rPr>
  </w:style>
  <w:style w:type="numbering" w:styleId="686" w:default="1">
    <w:name w:val="No List"/>
    <w:uiPriority w:val="99"/>
    <w:semiHidden/>
    <w:unhideWhenUsed/>
    <w:qFormat/>
  </w:style>
  <w:style w:type="table" w:styleId="1066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Р7-Офис/2026.1.1.1805</Application>
  <Company>DVGK</Company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Анохина Александра Владимировна</dc:creator>
  <dc:description/>
  <dc:language>ru-RU</dc:language>
  <cp:lastModifiedBy>korneva_oa</cp:lastModifiedBy>
  <cp:revision>42</cp:revision>
  <dcterms:created xsi:type="dcterms:W3CDTF">2021-12-23T05:59:00Z</dcterms:created>
  <dcterms:modified xsi:type="dcterms:W3CDTF">2026-07-10T06:21:40Z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